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A78E9" w14:textId="7950C0F9" w:rsidR="006A56CB" w:rsidRPr="00680F9C" w:rsidRDefault="00085933" w:rsidP="00037817">
      <w:pPr>
        <w:spacing w:before="240" w:after="240"/>
        <w:jc w:val="center"/>
        <w:rPr>
          <w:rFonts w:ascii="Times New Roman" w:hAnsi="Times New Roman" w:cs="Times New Roman"/>
          <w:b/>
          <w:bCs/>
          <w:i/>
          <w:iCs/>
          <w:sz w:val="32"/>
          <w:szCs w:val="32"/>
          <w:u w:val="single"/>
          <w:lang w:val="nl-NL"/>
        </w:rPr>
      </w:pPr>
      <w:r w:rsidRPr="00680F9C">
        <w:rPr>
          <w:rFonts w:ascii="Times New Roman" w:hAnsi="Times New Roman" w:cs="Times New Roman"/>
          <w:b/>
          <w:bCs/>
          <w:i/>
          <w:iCs/>
          <w:sz w:val="32"/>
          <w:szCs w:val="32"/>
          <w:u w:val="single"/>
          <w:lang w:val="nl-NL"/>
        </w:rPr>
        <w:t xml:space="preserve">Maatregelen Coronavirus UPDATE </w:t>
      </w:r>
      <w:r w:rsidR="004B6C0A" w:rsidRPr="00680F9C">
        <w:rPr>
          <w:rFonts w:ascii="Times New Roman" w:hAnsi="Times New Roman" w:cs="Times New Roman"/>
          <w:b/>
          <w:bCs/>
          <w:i/>
          <w:iCs/>
          <w:sz w:val="32"/>
          <w:szCs w:val="32"/>
          <w:u w:val="single"/>
          <w:lang w:val="nl-NL"/>
        </w:rPr>
        <w:t>1</w:t>
      </w:r>
      <w:r w:rsidR="002E0AE8" w:rsidRPr="00680F9C">
        <w:rPr>
          <w:rFonts w:ascii="Times New Roman" w:hAnsi="Times New Roman" w:cs="Times New Roman"/>
          <w:b/>
          <w:bCs/>
          <w:i/>
          <w:iCs/>
          <w:sz w:val="32"/>
          <w:szCs w:val="32"/>
          <w:u w:val="single"/>
          <w:lang w:val="nl-NL"/>
        </w:rPr>
        <w:t>1</w:t>
      </w:r>
    </w:p>
    <w:p w14:paraId="61E81617" w14:textId="2224A5B9" w:rsidR="004B6C0A" w:rsidRPr="00680F9C" w:rsidRDefault="00BD5D63" w:rsidP="004B6C0A">
      <w:pPr>
        <w:spacing w:before="240" w:after="480"/>
        <w:jc w:val="center"/>
        <w:rPr>
          <w:rFonts w:ascii="Times New Roman" w:hAnsi="Times New Roman" w:cs="Times New Roman"/>
          <w:b/>
          <w:bCs/>
          <w:i/>
          <w:iCs/>
          <w:sz w:val="28"/>
          <w:szCs w:val="28"/>
          <w:u w:val="single"/>
          <w:lang w:val="nl-NL"/>
        </w:rPr>
      </w:pPr>
      <w:r w:rsidRPr="00680F9C">
        <w:rPr>
          <w:rFonts w:ascii="Times New Roman" w:hAnsi="Times New Roman" w:cs="Times New Roman"/>
          <w:b/>
          <w:bCs/>
          <w:i/>
          <w:iCs/>
          <w:sz w:val="28"/>
          <w:szCs w:val="28"/>
          <w:u w:val="single"/>
          <w:lang w:val="nl-NL"/>
        </w:rPr>
        <w:t>Exit strategie</w:t>
      </w:r>
    </w:p>
    <w:p w14:paraId="37B88437" w14:textId="29CDE6E2" w:rsidR="004B6C0A" w:rsidRPr="00680F9C" w:rsidRDefault="004B6C0A" w:rsidP="002C4A0F">
      <w:pPr>
        <w:pStyle w:val="ListParagraph"/>
        <w:numPr>
          <w:ilvl w:val="0"/>
          <w:numId w:val="44"/>
        </w:numPr>
        <w:snapToGrid w:val="0"/>
        <w:spacing w:before="120" w:after="120"/>
        <w:jc w:val="both"/>
        <w:rPr>
          <w:rFonts w:ascii="Times New Roman" w:eastAsia="Times New Roman" w:hAnsi="Times New Roman" w:cs="Times New Roman"/>
          <w:b/>
          <w:bCs/>
          <w:color w:val="1B1B1B"/>
          <w:sz w:val="28"/>
          <w:szCs w:val="28"/>
          <w:lang w:val="nl-NL" w:eastAsia="en-GB"/>
        </w:rPr>
      </w:pPr>
      <w:r w:rsidRPr="00680F9C">
        <w:rPr>
          <w:rFonts w:ascii="Times New Roman" w:eastAsia="Times New Roman" w:hAnsi="Times New Roman" w:cs="Times New Roman"/>
          <w:b/>
          <w:bCs/>
          <w:color w:val="1B1B1B"/>
          <w:sz w:val="28"/>
          <w:szCs w:val="28"/>
          <w:lang w:val="nl-NL" w:eastAsia="en-GB"/>
        </w:rPr>
        <w:t>Coronavirus: de antwoorden op al je vragen</w:t>
      </w:r>
    </w:p>
    <w:p w14:paraId="099BBD11" w14:textId="652229CF" w:rsidR="004B6C0A" w:rsidRPr="00680F9C" w:rsidRDefault="004B6C0A" w:rsidP="00680F9C">
      <w:pPr>
        <w:snapToGrid w:val="0"/>
        <w:spacing w:before="120" w:after="120"/>
        <w:ind w:left="360"/>
        <w:jc w:val="both"/>
        <w:rPr>
          <w:rFonts w:ascii="Times New Roman" w:eastAsia="Times New Roman" w:hAnsi="Times New Roman" w:cs="Times New Roman"/>
          <w:color w:val="1B1B1B"/>
          <w:lang w:val="nl-NL" w:eastAsia="en-GB"/>
        </w:rPr>
      </w:pPr>
      <w:r w:rsidRPr="00680F9C">
        <w:rPr>
          <w:rFonts w:ascii="Times New Roman" w:eastAsia="Times New Roman" w:hAnsi="Times New Roman" w:cs="Times New Roman"/>
          <w:color w:val="1B1B1B"/>
          <w:lang w:val="nl-NL" w:eastAsia="en-GB"/>
        </w:rPr>
        <w:t>Covid-19 heeft niet alleen een grote impact op ons dagelijks leven. Ook de economie, ons werk, ons sociaal leven, de mobiliteit, het onderwijs en de gezondheidszorg werd de voorbije maanden geaffecteerd.</w:t>
      </w:r>
    </w:p>
    <w:p w14:paraId="4A654A97" w14:textId="77777777" w:rsidR="004B6C0A" w:rsidRPr="00680F9C" w:rsidRDefault="004B6C0A" w:rsidP="00680F9C">
      <w:pPr>
        <w:snapToGrid w:val="0"/>
        <w:spacing w:before="120" w:after="120"/>
        <w:ind w:left="360"/>
        <w:jc w:val="both"/>
        <w:rPr>
          <w:rFonts w:ascii="Times New Roman" w:eastAsia="Times New Roman" w:hAnsi="Times New Roman" w:cs="Times New Roman"/>
          <w:color w:val="1B1B1B"/>
          <w:lang w:val="nl-NL" w:eastAsia="en-GB"/>
        </w:rPr>
      </w:pPr>
      <w:r w:rsidRPr="00680F9C">
        <w:rPr>
          <w:rFonts w:ascii="Times New Roman" w:eastAsia="Times New Roman" w:hAnsi="Times New Roman" w:cs="Times New Roman"/>
          <w:color w:val="1B1B1B"/>
          <w:lang w:val="nl-NL" w:eastAsia="en-GB"/>
        </w:rPr>
        <w:t xml:space="preserve">De Nationale Veiligheidsraad </w:t>
      </w:r>
      <w:r w:rsidRPr="00680F9C">
        <w:rPr>
          <w:rFonts w:ascii="Times New Roman" w:eastAsia="Times New Roman" w:hAnsi="Times New Roman" w:cs="Times New Roman"/>
          <w:color w:val="1B1B1B"/>
          <w:lang w:val="nl-NL" w:eastAsia="en-GB"/>
        </w:rPr>
        <w:t xml:space="preserve">van 3 juni 2020 </w:t>
      </w:r>
      <w:r w:rsidRPr="00680F9C">
        <w:rPr>
          <w:rFonts w:ascii="Times New Roman" w:eastAsia="Times New Roman" w:hAnsi="Times New Roman" w:cs="Times New Roman"/>
          <w:color w:val="1B1B1B"/>
          <w:lang w:val="nl-NL" w:eastAsia="en-GB"/>
        </w:rPr>
        <w:t xml:space="preserve">heeft </w:t>
      </w:r>
      <w:r w:rsidRPr="00680F9C">
        <w:rPr>
          <w:rFonts w:ascii="Times New Roman" w:eastAsia="Times New Roman" w:hAnsi="Times New Roman" w:cs="Times New Roman"/>
          <w:color w:val="1B1B1B"/>
          <w:lang w:val="nl-NL" w:eastAsia="en-GB"/>
        </w:rPr>
        <w:t xml:space="preserve">verdere </w:t>
      </w:r>
      <w:r w:rsidRPr="00680F9C">
        <w:rPr>
          <w:rFonts w:ascii="Times New Roman" w:eastAsia="Times New Roman" w:hAnsi="Times New Roman" w:cs="Times New Roman"/>
          <w:color w:val="1B1B1B"/>
          <w:lang w:val="nl-NL" w:eastAsia="en-GB"/>
        </w:rPr>
        <w:t xml:space="preserve">maatregelen genomen om de verspreiding van het coronavirus tegen te gaan. Deze maatregelen hebben een wettelijke basis gekregen in een aantal Ministeriële besluiten. Om de bevolking te begeleiden bij het juist toepassen en interpreteren van deze maatregelen zijn deze juridische documenten omgezet in een lijst met vragen en antwoorden door vertegenwoordigers van de verschillende ministeriële kabinetten en vertegenwoordigers van de federale en regionale overheden (binnen het federaal coördinatiecomité). </w:t>
      </w:r>
    </w:p>
    <w:p w14:paraId="05D1CCAE" w14:textId="579A02AB" w:rsidR="004B6C0A" w:rsidRPr="00680F9C" w:rsidRDefault="004B6C0A" w:rsidP="00680F9C">
      <w:pPr>
        <w:snapToGrid w:val="0"/>
        <w:spacing w:before="120" w:after="120"/>
        <w:ind w:left="360"/>
        <w:jc w:val="both"/>
        <w:rPr>
          <w:rFonts w:ascii="Times New Roman" w:eastAsia="Times New Roman" w:hAnsi="Times New Roman" w:cs="Times New Roman"/>
          <w:color w:val="1B1B1B"/>
          <w:lang w:val="nl-NL" w:eastAsia="en-GB"/>
        </w:rPr>
      </w:pPr>
      <w:r w:rsidRPr="00680F9C">
        <w:rPr>
          <w:rFonts w:ascii="Times New Roman" w:eastAsia="Times New Roman" w:hAnsi="Times New Roman" w:cs="Times New Roman"/>
          <w:color w:val="1B1B1B"/>
          <w:lang w:val="nl-NL" w:eastAsia="en-GB"/>
        </w:rPr>
        <w:t xml:space="preserve">Let op: deze vragenlijst is geen juridisch document. </w:t>
      </w:r>
    </w:p>
    <w:p w14:paraId="4E34A86D" w14:textId="2041E201" w:rsidR="004B6C0A" w:rsidRPr="00680F9C" w:rsidRDefault="004B6C0A" w:rsidP="00680F9C">
      <w:pPr>
        <w:snapToGrid w:val="0"/>
        <w:spacing w:before="120" w:after="120"/>
        <w:ind w:left="360"/>
        <w:jc w:val="both"/>
        <w:rPr>
          <w:rFonts w:ascii="Times New Roman" w:eastAsia="Times New Roman" w:hAnsi="Times New Roman" w:cs="Times New Roman"/>
          <w:color w:val="1B1B1B"/>
          <w:lang w:val="nl-NL" w:eastAsia="en-GB"/>
        </w:rPr>
      </w:pPr>
      <w:r w:rsidRPr="00680F9C">
        <w:rPr>
          <w:rFonts w:ascii="Times New Roman" w:eastAsia="Times New Roman" w:hAnsi="Times New Roman" w:cs="Times New Roman"/>
          <w:color w:val="1B1B1B"/>
          <w:lang w:val="nl-NL" w:eastAsia="en-GB"/>
        </w:rPr>
        <w:t>Raadpleeg de meest</w:t>
      </w:r>
      <w:r w:rsidRPr="00680F9C">
        <w:rPr>
          <w:rFonts w:ascii="Times New Roman" w:eastAsia="Times New Roman" w:hAnsi="Times New Roman" w:cs="Times New Roman"/>
          <w:color w:val="1B1B1B"/>
          <w:lang w:val="nl-NL" w:eastAsia="en-GB"/>
        </w:rPr>
        <w:t xml:space="preserve"> </w:t>
      </w:r>
      <w:r w:rsidRPr="00680F9C">
        <w:rPr>
          <w:rFonts w:ascii="Times New Roman" w:eastAsia="Times New Roman" w:hAnsi="Times New Roman" w:cs="Times New Roman"/>
          <w:color w:val="1B1B1B"/>
          <w:lang w:val="nl-NL" w:eastAsia="en-GB"/>
        </w:rPr>
        <w:t>gestelde vragen</w:t>
      </w:r>
      <w:r w:rsidRPr="00680F9C">
        <w:rPr>
          <w:rFonts w:ascii="Times New Roman" w:eastAsia="Times New Roman" w:hAnsi="Times New Roman" w:cs="Times New Roman"/>
          <w:color w:val="1B1B1B"/>
          <w:lang w:val="nl-NL" w:eastAsia="en-GB"/>
        </w:rPr>
        <w:t xml:space="preserve">: </w:t>
      </w:r>
      <w:hyperlink r:id="rId7" w:history="1">
        <w:r w:rsidRPr="00680F9C">
          <w:rPr>
            <w:rStyle w:val="Hyperlink"/>
            <w:rFonts w:ascii="Times New Roman" w:eastAsia="Times New Roman" w:hAnsi="Times New Roman" w:cs="Times New Roman"/>
            <w:lang w:val="nl-NL" w:eastAsia="en-GB"/>
          </w:rPr>
          <w:t>https://www.info-coronav</w:t>
        </w:r>
        <w:r w:rsidRPr="00680F9C">
          <w:rPr>
            <w:rStyle w:val="Hyperlink"/>
            <w:rFonts w:ascii="Times New Roman" w:eastAsia="Times New Roman" w:hAnsi="Times New Roman" w:cs="Times New Roman"/>
            <w:lang w:val="nl-NL" w:eastAsia="en-GB"/>
          </w:rPr>
          <w:t>i</w:t>
        </w:r>
        <w:r w:rsidRPr="00680F9C">
          <w:rPr>
            <w:rStyle w:val="Hyperlink"/>
            <w:rFonts w:ascii="Times New Roman" w:eastAsia="Times New Roman" w:hAnsi="Times New Roman" w:cs="Times New Roman"/>
            <w:lang w:val="nl-NL" w:eastAsia="en-GB"/>
          </w:rPr>
          <w:t>rus.be/nl/faq/</w:t>
        </w:r>
      </w:hyperlink>
    </w:p>
    <w:p w14:paraId="293414DB" w14:textId="3F406AE6" w:rsidR="004B6C0A" w:rsidRPr="00680F9C" w:rsidRDefault="004B6C0A" w:rsidP="00680F9C">
      <w:pPr>
        <w:pStyle w:val="ListParagraph"/>
        <w:numPr>
          <w:ilvl w:val="0"/>
          <w:numId w:val="44"/>
        </w:numPr>
        <w:snapToGrid w:val="0"/>
        <w:spacing w:before="360" w:after="120"/>
        <w:ind w:left="357" w:hanging="357"/>
        <w:jc w:val="both"/>
        <w:rPr>
          <w:rFonts w:ascii="Times New Roman" w:eastAsia="Times New Roman" w:hAnsi="Times New Roman" w:cs="Times New Roman"/>
          <w:b/>
          <w:bCs/>
          <w:i/>
          <w:iCs/>
          <w:color w:val="1B1B1B"/>
          <w:sz w:val="28"/>
          <w:szCs w:val="28"/>
          <w:lang w:eastAsia="en-GB"/>
        </w:rPr>
      </w:pPr>
      <w:r w:rsidRPr="00680F9C">
        <w:rPr>
          <w:rFonts w:ascii="Times New Roman" w:eastAsia="Times New Roman" w:hAnsi="Times New Roman" w:cs="Times New Roman"/>
          <w:b/>
          <w:bCs/>
          <w:color w:val="1B1B1B"/>
          <w:sz w:val="28"/>
          <w:szCs w:val="28"/>
          <w:lang w:eastAsia="en-GB"/>
        </w:rPr>
        <w:t>Vlaamse Regering neemt extra maatregelen</w:t>
      </w:r>
    </w:p>
    <w:p w14:paraId="1D577B5A" w14:textId="73678CED" w:rsidR="004B6C0A" w:rsidRPr="00680F9C" w:rsidRDefault="004B6C0A" w:rsidP="00680F9C">
      <w:pPr>
        <w:snapToGrid w:val="0"/>
        <w:spacing w:before="120" w:after="120"/>
        <w:ind w:left="360"/>
        <w:jc w:val="both"/>
        <w:rPr>
          <w:rFonts w:ascii="Times New Roman" w:eastAsia="Times New Roman" w:hAnsi="Times New Roman" w:cs="Times New Roman"/>
          <w:color w:val="1B1B1B"/>
          <w:lang w:eastAsia="en-GB"/>
        </w:rPr>
      </w:pPr>
      <w:r w:rsidRPr="00680F9C">
        <w:rPr>
          <w:rFonts w:ascii="Times New Roman" w:eastAsia="Times New Roman" w:hAnsi="Times New Roman" w:cs="Times New Roman"/>
          <w:color w:val="1B1B1B"/>
          <w:lang w:eastAsia="en-GB"/>
        </w:rPr>
        <w:t>Deze crisis is de zwaarste naoorlogse crisis die ons land getroffen heeft. Na de eerste crisissteunmaatregelen die bedrijven de eerste schok moesten helpen opvangen, is het nu van belang ervoor te zorgen dat zij hun solvabiliteit kunnen versterken, het zogenaamde eigen vermogen, om ook op de lange termijn hun activiteiten verder te zetten. Om bedrijven te helpen bij het ophalen van deze middelen, heeft de Vlaamse regering een vierluik van maatregelen uitgewerkt: een welvaartsfonds, een uitbreiding van de achtergestelde leningen, een uitbreiding van de win-win-lening met het vriendenaandeel en een uitbreiding van het waarborgstelsel waar bedrijven beroep op kunnen doen.</w:t>
      </w:r>
    </w:p>
    <w:p w14:paraId="65D6697C" w14:textId="77777777" w:rsidR="004B6C0A" w:rsidRPr="00680F9C" w:rsidRDefault="004B6C0A" w:rsidP="00680F9C">
      <w:pPr>
        <w:snapToGrid w:val="0"/>
        <w:spacing w:before="240" w:after="120"/>
        <w:ind w:left="360"/>
        <w:jc w:val="both"/>
        <w:rPr>
          <w:rFonts w:ascii="Times New Roman" w:eastAsia="Times New Roman" w:hAnsi="Times New Roman" w:cs="Times New Roman"/>
          <w:i/>
          <w:iCs/>
          <w:color w:val="1B1B1B"/>
          <w:u w:val="single"/>
          <w:lang w:eastAsia="en-GB"/>
        </w:rPr>
      </w:pPr>
      <w:r w:rsidRPr="00680F9C">
        <w:rPr>
          <w:rFonts w:ascii="Times New Roman" w:eastAsia="Times New Roman" w:hAnsi="Times New Roman" w:cs="Times New Roman"/>
          <w:i/>
          <w:iCs/>
          <w:color w:val="1B1B1B"/>
          <w:u w:val="single"/>
          <w:lang w:eastAsia="en-GB"/>
        </w:rPr>
        <w:t>A. Welvaartsfonds</w:t>
      </w:r>
    </w:p>
    <w:p w14:paraId="38079A6C" w14:textId="66964C71" w:rsidR="004B6C0A" w:rsidRPr="00680F9C" w:rsidRDefault="004B6C0A" w:rsidP="00680F9C">
      <w:pPr>
        <w:snapToGrid w:val="0"/>
        <w:spacing w:before="120" w:after="120"/>
        <w:ind w:left="644"/>
        <w:jc w:val="both"/>
        <w:rPr>
          <w:rFonts w:ascii="Times New Roman" w:eastAsia="Times New Roman" w:hAnsi="Times New Roman" w:cs="Times New Roman"/>
          <w:color w:val="1B1B1B"/>
          <w:lang w:eastAsia="en-GB"/>
        </w:rPr>
      </w:pPr>
      <w:r w:rsidRPr="00680F9C">
        <w:rPr>
          <w:rFonts w:ascii="Times New Roman" w:eastAsia="Times New Roman" w:hAnsi="Times New Roman" w:cs="Times New Roman"/>
          <w:color w:val="1B1B1B"/>
          <w:lang w:eastAsia="en-GB"/>
        </w:rPr>
        <w:t>Op de Vlaamse spaarboekjes staan momenteel tientallen miljarden “geparkeerd”. Dit terwijl vele ondernemingen nu op zoek zijn naar vers kapitaal. Met een welvaartsfonds worden de Vlaamse spaarder en ondernemer samengebracht om onze economie een boost te geven. Concreet investeert de Vlaamse regering 240 miljoen euro in de participatiemaatschappij Vlaanderen (PMV) die als minderheidsaandeelhouder samen met private spelers een fonds van 500 miljoen zal opzetten.</w:t>
      </w:r>
    </w:p>
    <w:p w14:paraId="16BBF0E3" w14:textId="77777777" w:rsidR="004B6C0A" w:rsidRPr="00680F9C" w:rsidRDefault="004B6C0A" w:rsidP="00680F9C">
      <w:pPr>
        <w:snapToGrid w:val="0"/>
        <w:spacing w:before="120" w:after="120"/>
        <w:ind w:left="644"/>
        <w:jc w:val="both"/>
        <w:rPr>
          <w:rFonts w:ascii="Times New Roman" w:eastAsia="Times New Roman" w:hAnsi="Times New Roman" w:cs="Times New Roman"/>
          <w:color w:val="1B1B1B"/>
          <w:lang w:eastAsia="en-GB"/>
        </w:rPr>
      </w:pPr>
      <w:r w:rsidRPr="00680F9C">
        <w:rPr>
          <w:rFonts w:ascii="Times New Roman" w:eastAsia="Times New Roman" w:hAnsi="Times New Roman" w:cs="Times New Roman"/>
          <w:color w:val="1B1B1B"/>
          <w:lang w:eastAsia="en-GB"/>
        </w:rPr>
        <w:t>Hierop kunnen institutionele beleggers maar ook particulieren intekenen in de vorm van kapitaalsparticipaties en achtergestelde leningen. Zo activeren we slapend spaargeld. Activeren in plaats van parkeren. Particulieren genieten hierbij van een dubbel voordeel:</w:t>
      </w:r>
    </w:p>
    <w:p w14:paraId="4F58C13F" w14:textId="77777777" w:rsidR="002C4A0F" w:rsidRPr="00680F9C" w:rsidRDefault="004B6C0A" w:rsidP="00680F9C">
      <w:pPr>
        <w:pStyle w:val="ListParagraph"/>
        <w:numPr>
          <w:ilvl w:val="0"/>
          <w:numId w:val="41"/>
        </w:numPr>
        <w:snapToGrid w:val="0"/>
        <w:spacing w:before="120" w:after="120"/>
        <w:ind w:left="1074" w:hanging="357"/>
        <w:contextualSpacing w:val="0"/>
        <w:jc w:val="both"/>
        <w:rPr>
          <w:rFonts w:ascii="Times New Roman" w:eastAsia="Times New Roman" w:hAnsi="Times New Roman" w:cs="Times New Roman"/>
          <w:color w:val="1B1B1B"/>
          <w:lang w:eastAsia="en-GB"/>
        </w:rPr>
      </w:pPr>
      <w:r w:rsidRPr="00680F9C">
        <w:rPr>
          <w:rFonts w:ascii="Times New Roman" w:eastAsia="Times New Roman" w:hAnsi="Times New Roman" w:cs="Times New Roman"/>
          <w:color w:val="1B1B1B"/>
          <w:lang w:eastAsia="en-GB"/>
        </w:rPr>
        <w:t>De eerste 3 jaar geniet de investeerder van een fiscaal voordeel van 2,5% per jaar met een maximum van 1.000 euro per belastingplichtige;</w:t>
      </w:r>
    </w:p>
    <w:p w14:paraId="795BCE51" w14:textId="629940B7" w:rsidR="004B6C0A" w:rsidRDefault="004B6C0A" w:rsidP="00680F9C">
      <w:pPr>
        <w:pStyle w:val="ListParagraph"/>
        <w:numPr>
          <w:ilvl w:val="0"/>
          <w:numId w:val="41"/>
        </w:numPr>
        <w:snapToGrid w:val="0"/>
        <w:spacing w:before="120" w:after="120"/>
        <w:ind w:left="1074" w:hanging="357"/>
        <w:contextualSpacing w:val="0"/>
        <w:jc w:val="both"/>
        <w:rPr>
          <w:rFonts w:ascii="Times New Roman" w:eastAsia="Times New Roman" w:hAnsi="Times New Roman" w:cs="Times New Roman"/>
          <w:color w:val="1B1B1B"/>
          <w:lang w:eastAsia="en-GB"/>
        </w:rPr>
      </w:pPr>
      <w:r w:rsidRPr="00680F9C">
        <w:rPr>
          <w:rFonts w:ascii="Times New Roman" w:eastAsia="Times New Roman" w:hAnsi="Times New Roman" w:cs="Times New Roman"/>
          <w:color w:val="1B1B1B"/>
          <w:lang w:eastAsia="en-GB"/>
        </w:rPr>
        <w:t>De aandelen in het fonds zullen bij erfenis overgaan mits een recht van 3% en niet meegenomen worden in de globalisatie van het vermogen.</w:t>
      </w:r>
    </w:p>
    <w:p w14:paraId="7892723C" w14:textId="77777777" w:rsidR="00680F9C" w:rsidRPr="00680F9C" w:rsidRDefault="00680F9C" w:rsidP="00680F9C">
      <w:pPr>
        <w:snapToGrid w:val="0"/>
        <w:spacing w:before="120" w:after="120"/>
        <w:jc w:val="both"/>
        <w:rPr>
          <w:rFonts w:ascii="Times New Roman" w:eastAsia="Times New Roman" w:hAnsi="Times New Roman" w:cs="Times New Roman"/>
          <w:color w:val="1B1B1B"/>
          <w:lang w:eastAsia="en-GB"/>
        </w:rPr>
      </w:pPr>
    </w:p>
    <w:p w14:paraId="5206E818" w14:textId="77777777" w:rsidR="004B6C0A" w:rsidRPr="00680F9C" w:rsidRDefault="004B6C0A" w:rsidP="00680F9C">
      <w:pPr>
        <w:snapToGrid w:val="0"/>
        <w:spacing w:before="240" w:after="120"/>
        <w:ind w:left="360"/>
        <w:jc w:val="both"/>
        <w:rPr>
          <w:rFonts w:ascii="Times New Roman" w:eastAsia="Times New Roman" w:hAnsi="Times New Roman" w:cs="Times New Roman"/>
          <w:i/>
          <w:iCs/>
          <w:color w:val="1B1B1B"/>
          <w:u w:val="single"/>
          <w:lang w:eastAsia="en-GB"/>
        </w:rPr>
      </w:pPr>
      <w:r w:rsidRPr="00680F9C">
        <w:rPr>
          <w:rFonts w:ascii="Times New Roman" w:eastAsia="Times New Roman" w:hAnsi="Times New Roman" w:cs="Times New Roman"/>
          <w:i/>
          <w:iCs/>
          <w:color w:val="1B1B1B"/>
          <w:u w:val="single"/>
          <w:lang w:eastAsia="en-GB"/>
        </w:rPr>
        <w:lastRenderedPageBreak/>
        <w:t>B. Achtergestelde leningen</w:t>
      </w:r>
    </w:p>
    <w:p w14:paraId="7D8765E8" w14:textId="27CEC76B" w:rsidR="004B6C0A" w:rsidRPr="00680F9C" w:rsidRDefault="004B6C0A" w:rsidP="00680F9C">
      <w:pPr>
        <w:snapToGrid w:val="0"/>
        <w:spacing w:before="120" w:after="120"/>
        <w:ind w:left="644"/>
        <w:jc w:val="both"/>
        <w:rPr>
          <w:rFonts w:ascii="Times New Roman" w:eastAsia="Times New Roman" w:hAnsi="Times New Roman" w:cs="Times New Roman"/>
          <w:color w:val="1B1B1B"/>
          <w:lang w:eastAsia="en-GB"/>
        </w:rPr>
      </w:pPr>
      <w:r w:rsidRPr="00680F9C">
        <w:rPr>
          <w:rFonts w:ascii="Times New Roman" w:eastAsia="Times New Roman" w:hAnsi="Times New Roman" w:cs="Times New Roman"/>
          <w:color w:val="1B1B1B"/>
          <w:lang w:eastAsia="en-GB"/>
        </w:rPr>
        <w:t>De Vlaamse regering had eerder al 250 miljoen euro geïnvesteerd in PMV om achtergestelde leningen op drie jaar aan te bieden aan start-ups, scale-ups, KMO’s en zelfstandigen en hen zo te voorzien van de nodige financiële buffers. Wegens de grote vraag wordt dit instrument nu nogmaals verhoogd met nog eens 250 miljoen.</w:t>
      </w:r>
    </w:p>
    <w:p w14:paraId="4E5D6932" w14:textId="77777777" w:rsidR="004B6C0A" w:rsidRPr="00680F9C" w:rsidRDefault="004B6C0A" w:rsidP="00680F9C">
      <w:pPr>
        <w:snapToGrid w:val="0"/>
        <w:spacing w:before="240" w:after="120"/>
        <w:ind w:left="360"/>
        <w:jc w:val="both"/>
        <w:rPr>
          <w:rFonts w:ascii="Times New Roman" w:eastAsia="Times New Roman" w:hAnsi="Times New Roman" w:cs="Times New Roman"/>
          <w:i/>
          <w:iCs/>
          <w:color w:val="1B1B1B"/>
          <w:u w:val="single"/>
          <w:lang w:eastAsia="en-GB"/>
        </w:rPr>
      </w:pPr>
      <w:r w:rsidRPr="00680F9C">
        <w:rPr>
          <w:rFonts w:ascii="Times New Roman" w:eastAsia="Times New Roman" w:hAnsi="Times New Roman" w:cs="Times New Roman"/>
          <w:i/>
          <w:iCs/>
          <w:color w:val="1B1B1B"/>
          <w:u w:val="single"/>
          <w:lang w:eastAsia="en-GB"/>
        </w:rPr>
        <w:t>C. Win-winlening en vriendenaandeel</w:t>
      </w:r>
    </w:p>
    <w:p w14:paraId="4B5D6109" w14:textId="42C52A43" w:rsidR="004B6C0A" w:rsidRPr="00680F9C" w:rsidRDefault="004B6C0A" w:rsidP="00680F9C">
      <w:pPr>
        <w:snapToGrid w:val="0"/>
        <w:spacing w:before="120" w:after="120"/>
        <w:ind w:left="644"/>
        <w:jc w:val="both"/>
        <w:rPr>
          <w:rFonts w:ascii="Times New Roman" w:eastAsia="Times New Roman" w:hAnsi="Times New Roman" w:cs="Times New Roman"/>
          <w:color w:val="1B1B1B"/>
          <w:lang w:eastAsia="en-GB"/>
        </w:rPr>
      </w:pPr>
      <w:r w:rsidRPr="00680F9C">
        <w:rPr>
          <w:rFonts w:ascii="Times New Roman" w:eastAsia="Times New Roman" w:hAnsi="Times New Roman" w:cs="Times New Roman"/>
          <w:color w:val="1B1B1B"/>
          <w:lang w:eastAsia="en-GB"/>
        </w:rPr>
        <w:t>De win-winlening laat particulieren toe om een achtergestelde lening te geven aan ondernemingen. Begin mei werd al beslist om de win-winlening te versterken en uit te breiden met een flexibelere looptijd een hoger leningsplafond en een hoger eenmalig fiscaal voordeel bij definitief verlies.</w:t>
      </w:r>
    </w:p>
    <w:p w14:paraId="06AE345D" w14:textId="20F336BE" w:rsidR="004B6C0A" w:rsidRPr="00680F9C" w:rsidRDefault="004B6C0A" w:rsidP="00680F9C">
      <w:pPr>
        <w:snapToGrid w:val="0"/>
        <w:spacing w:before="120" w:after="120"/>
        <w:ind w:left="644"/>
        <w:jc w:val="both"/>
        <w:rPr>
          <w:rFonts w:ascii="Times New Roman" w:eastAsia="Times New Roman" w:hAnsi="Times New Roman" w:cs="Times New Roman"/>
          <w:color w:val="1B1B1B"/>
          <w:lang w:eastAsia="en-GB"/>
        </w:rPr>
      </w:pPr>
      <w:r w:rsidRPr="00680F9C">
        <w:rPr>
          <w:rFonts w:ascii="Times New Roman" w:eastAsia="Times New Roman" w:hAnsi="Times New Roman" w:cs="Times New Roman"/>
          <w:color w:val="1B1B1B"/>
          <w:lang w:eastAsia="en-GB"/>
        </w:rPr>
        <w:t>Vandaag wordt deze win-winlening nog verder uitgebreid met het “vriendenaandeel”. Daardoor wordt het niet enkel mogelijk om te investeren via een achtergestelde lening, maar is er ook de optie van een kapitaalsparticipatie.</w:t>
      </w:r>
    </w:p>
    <w:p w14:paraId="11880B57" w14:textId="100BD7EB" w:rsidR="004B6C0A" w:rsidRPr="00680F9C" w:rsidRDefault="004B6C0A" w:rsidP="00680F9C">
      <w:pPr>
        <w:snapToGrid w:val="0"/>
        <w:spacing w:before="120" w:after="120"/>
        <w:ind w:left="644"/>
        <w:jc w:val="both"/>
        <w:rPr>
          <w:rFonts w:ascii="Times New Roman" w:eastAsia="Times New Roman" w:hAnsi="Times New Roman" w:cs="Times New Roman"/>
          <w:color w:val="1B1B1B"/>
          <w:lang w:eastAsia="en-GB"/>
        </w:rPr>
      </w:pPr>
      <w:r w:rsidRPr="00680F9C">
        <w:rPr>
          <w:rFonts w:ascii="Times New Roman" w:eastAsia="Times New Roman" w:hAnsi="Times New Roman" w:cs="Times New Roman"/>
          <w:color w:val="1B1B1B"/>
          <w:lang w:eastAsia="en-GB"/>
        </w:rPr>
        <w:t>Bij deze kapitaalsparticipaties gelden dezelfde bedragen als bij de achtergestelde lening. Het “vriendenaandeel” is een maximale participatie van 50.000 euro waarbij het fiscaal voordeel vastgelegd wordt op 2,5% gedurende vijf jaar. Om het instrument ook bruikbaar te maken voor kleine familiale aandeelhouders, coöperatieven en nieuwe burgerinitiatieven wordt het daarbij bovendien ook toegelaten dat kleine aandeelhouders (met een aandeel van maximaal 10% voor de kapitaalsverhoging) kapitaal verstrekken onder de vorm van vriendenaandelen.</w:t>
      </w:r>
    </w:p>
    <w:p w14:paraId="2B27BC15" w14:textId="77777777" w:rsidR="004B6C0A" w:rsidRPr="00680F9C" w:rsidRDefault="004B6C0A" w:rsidP="00680F9C">
      <w:pPr>
        <w:snapToGrid w:val="0"/>
        <w:spacing w:before="240" w:after="120"/>
        <w:ind w:left="360"/>
        <w:jc w:val="both"/>
        <w:rPr>
          <w:rFonts w:ascii="Times New Roman" w:eastAsia="Times New Roman" w:hAnsi="Times New Roman" w:cs="Times New Roman"/>
          <w:i/>
          <w:iCs/>
          <w:color w:val="1B1B1B"/>
          <w:u w:val="single"/>
          <w:lang w:eastAsia="en-GB"/>
        </w:rPr>
      </w:pPr>
      <w:r w:rsidRPr="00680F9C">
        <w:rPr>
          <w:rFonts w:ascii="Times New Roman" w:eastAsia="Times New Roman" w:hAnsi="Times New Roman" w:cs="Times New Roman"/>
          <w:i/>
          <w:iCs/>
          <w:color w:val="1B1B1B"/>
          <w:u w:val="single"/>
          <w:lang w:eastAsia="en-GB"/>
        </w:rPr>
        <w:t>D. Waarborgen</w:t>
      </w:r>
    </w:p>
    <w:p w14:paraId="4A8DBA5D" w14:textId="316704E0" w:rsidR="004B6C0A" w:rsidRPr="00680F9C" w:rsidRDefault="004B6C0A" w:rsidP="00680F9C">
      <w:pPr>
        <w:snapToGrid w:val="0"/>
        <w:spacing w:before="120" w:after="120"/>
        <w:ind w:left="644"/>
        <w:jc w:val="both"/>
        <w:rPr>
          <w:rFonts w:ascii="Times New Roman" w:eastAsia="Times New Roman" w:hAnsi="Times New Roman" w:cs="Times New Roman"/>
          <w:color w:val="1B1B1B"/>
          <w:lang w:eastAsia="en-GB"/>
        </w:rPr>
      </w:pPr>
      <w:r w:rsidRPr="00680F9C">
        <w:rPr>
          <w:rFonts w:ascii="Times New Roman" w:eastAsia="Times New Roman" w:hAnsi="Times New Roman" w:cs="Times New Roman"/>
          <w:color w:val="1B1B1B"/>
          <w:lang w:eastAsia="en-GB"/>
        </w:rPr>
        <w:t>Drie types van waarborgen zullen door de Vlaamse regering verstrekt aan bedrijven om bankfinanciering op te halen. Waarbij deze waarborgen complementair zijn aan die van het federale niveau:</w:t>
      </w:r>
    </w:p>
    <w:p w14:paraId="40BBB8B0" w14:textId="77777777" w:rsidR="002C4A0F" w:rsidRPr="00680F9C" w:rsidRDefault="004B6C0A" w:rsidP="00680F9C">
      <w:pPr>
        <w:pStyle w:val="ListParagraph"/>
        <w:numPr>
          <w:ilvl w:val="0"/>
          <w:numId w:val="42"/>
        </w:numPr>
        <w:snapToGrid w:val="0"/>
        <w:spacing w:before="120" w:after="120"/>
        <w:ind w:left="1001" w:hanging="357"/>
        <w:contextualSpacing w:val="0"/>
        <w:jc w:val="both"/>
        <w:rPr>
          <w:rFonts w:ascii="Times New Roman" w:eastAsia="Times New Roman" w:hAnsi="Times New Roman" w:cs="Times New Roman"/>
          <w:color w:val="1B1B1B"/>
          <w:lang w:eastAsia="en-GB"/>
        </w:rPr>
      </w:pPr>
      <w:r w:rsidRPr="00680F9C">
        <w:rPr>
          <w:rFonts w:ascii="Times New Roman" w:eastAsia="Times New Roman" w:hAnsi="Times New Roman" w:cs="Times New Roman"/>
          <w:color w:val="1B1B1B"/>
          <w:lang w:eastAsia="en-GB"/>
        </w:rPr>
        <w:t>Door PMV wordt een waarborg verstrekt van 75% voor een lening of leasing tot 1,5 miljoen euro.</w:t>
      </w:r>
    </w:p>
    <w:p w14:paraId="63812916" w14:textId="77777777" w:rsidR="002C4A0F" w:rsidRPr="00680F9C" w:rsidRDefault="004B6C0A" w:rsidP="00680F9C">
      <w:pPr>
        <w:pStyle w:val="ListParagraph"/>
        <w:numPr>
          <w:ilvl w:val="0"/>
          <w:numId w:val="42"/>
        </w:numPr>
        <w:snapToGrid w:val="0"/>
        <w:spacing w:before="120" w:after="120"/>
        <w:ind w:left="1001" w:hanging="357"/>
        <w:contextualSpacing w:val="0"/>
        <w:jc w:val="both"/>
        <w:rPr>
          <w:rFonts w:ascii="Times New Roman" w:eastAsia="Times New Roman" w:hAnsi="Times New Roman" w:cs="Times New Roman"/>
          <w:color w:val="1B1B1B"/>
          <w:lang w:eastAsia="en-GB"/>
        </w:rPr>
      </w:pPr>
      <w:r w:rsidRPr="00680F9C">
        <w:rPr>
          <w:rFonts w:ascii="Times New Roman" w:eastAsia="Times New Roman" w:hAnsi="Times New Roman" w:cs="Times New Roman"/>
          <w:color w:val="1B1B1B"/>
          <w:lang w:eastAsia="en-GB"/>
        </w:rPr>
        <w:t>De Vlaamse regering heeft voor 100 miljoen extra waarborgcapaciteit uitgetrokken voor overbruggingskredieten. Voor deze crisiswaarborgen geldt een gehalveerde premie van 0,25%. Momenteel is er 400 miljoen beschikbaar maar de Vlaamse regering zal deze capaciteit optrekken indien nodig.</w:t>
      </w:r>
    </w:p>
    <w:p w14:paraId="0EBD1622" w14:textId="138B5679" w:rsidR="004B6C0A" w:rsidRPr="00680F9C" w:rsidRDefault="004B6C0A" w:rsidP="00680F9C">
      <w:pPr>
        <w:pStyle w:val="ListParagraph"/>
        <w:numPr>
          <w:ilvl w:val="0"/>
          <w:numId w:val="42"/>
        </w:numPr>
        <w:snapToGrid w:val="0"/>
        <w:spacing w:before="120" w:after="120"/>
        <w:ind w:left="1001" w:hanging="357"/>
        <w:contextualSpacing w:val="0"/>
        <w:jc w:val="both"/>
        <w:rPr>
          <w:rFonts w:ascii="Times New Roman" w:eastAsia="Times New Roman" w:hAnsi="Times New Roman" w:cs="Times New Roman"/>
          <w:color w:val="1B1B1B"/>
          <w:lang w:eastAsia="en-GB"/>
        </w:rPr>
      </w:pPr>
      <w:r w:rsidRPr="00680F9C">
        <w:rPr>
          <w:rFonts w:ascii="Times New Roman" w:eastAsia="Times New Roman" w:hAnsi="Times New Roman" w:cs="Times New Roman"/>
          <w:color w:val="1B1B1B"/>
          <w:lang w:eastAsia="en-GB"/>
        </w:rPr>
        <w:t xml:space="preserve">Voor waarborgen boven 1,5 miljoen euro, beschikt PMV met Gigarant over een waarborgcapaciteit die door de Vlaamse regering is verdubbeld tot 3 miljard euro. </w:t>
      </w:r>
    </w:p>
    <w:p w14:paraId="3C778FDE" w14:textId="77777777" w:rsidR="004B6C0A" w:rsidRDefault="004B6C0A" w:rsidP="00680F9C">
      <w:pPr>
        <w:snapToGrid w:val="0"/>
        <w:spacing w:before="120" w:after="120"/>
        <w:ind w:left="360"/>
        <w:jc w:val="both"/>
        <w:rPr>
          <w:rFonts w:ascii="Times New Roman" w:eastAsia="Times New Roman" w:hAnsi="Times New Roman" w:cs="Times New Roman"/>
          <w:color w:val="1B1B1B"/>
          <w:sz w:val="22"/>
          <w:szCs w:val="22"/>
          <w:lang w:val="nl-NL" w:eastAsia="en-GB"/>
        </w:rPr>
      </w:pPr>
    </w:p>
    <w:p w14:paraId="4087D3F3" w14:textId="77777777" w:rsidR="004B6C0A" w:rsidRDefault="004B6C0A" w:rsidP="00680F9C">
      <w:pPr>
        <w:snapToGrid w:val="0"/>
        <w:spacing w:before="120" w:after="120"/>
        <w:ind w:left="360"/>
        <w:jc w:val="both"/>
        <w:rPr>
          <w:rFonts w:ascii="Times New Roman" w:eastAsia="Times New Roman" w:hAnsi="Times New Roman" w:cs="Times New Roman"/>
          <w:color w:val="1B1B1B"/>
          <w:sz w:val="22"/>
          <w:szCs w:val="22"/>
          <w:lang w:val="nl-NL" w:eastAsia="en-GB"/>
        </w:rPr>
      </w:pPr>
    </w:p>
    <w:p w14:paraId="2772927D" w14:textId="77777777" w:rsidR="004B6C0A" w:rsidRDefault="004B6C0A" w:rsidP="00680F9C">
      <w:pPr>
        <w:snapToGrid w:val="0"/>
        <w:spacing w:before="120" w:after="120"/>
        <w:ind w:left="360"/>
        <w:jc w:val="both"/>
        <w:rPr>
          <w:rFonts w:ascii="Times New Roman" w:eastAsia="Times New Roman" w:hAnsi="Times New Roman" w:cs="Times New Roman"/>
          <w:color w:val="1B1B1B"/>
          <w:sz w:val="22"/>
          <w:szCs w:val="22"/>
          <w:lang w:val="nl-NL" w:eastAsia="en-GB"/>
        </w:rPr>
      </w:pPr>
    </w:p>
    <w:p w14:paraId="7F954B00" w14:textId="05090B18" w:rsidR="00085933" w:rsidRPr="00C127E1" w:rsidRDefault="00085933" w:rsidP="00680F9C">
      <w:pPr>
        <w:spacing w:before="120" w:after="120"/>
        <w:ind w:left="360"/>
        <w:jc w:val="both"/>
        <w:rPr>
          <w:rFonts w:ascii="Times New Roman" w:eastAsia="Times New Roman" w:hAnsi="Times New Roman" w:cs="Times New Roman"/>
          <w:color w:val="1B1B1B"/>
          <w:sz w:val="22"/>
          <w:szCs w:val="22"/>
          <w:lang w:eastAsia="en-GB"/>
        </w:rPr>
      </w:pPr>
    </w:p>
    <w:sectPr w:rsidR="00085933" w:rsidRPr="00C127E1" w:rsidSect="00041F87">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1FFDA" w14:textId="77777777" w:rsidR="00896FBB" w:rsidRDefault="00896FBB" w:rsidP="00085933">
      <w:r>
        <w:separator/>
      </w:r>
    </w:p>
  </w:endnote>
  <w:endnote w:type="continuationSeparator" w:id="0">
    <w:p w14:paraId="3C8FC9B4" w14:textId="77777777" w:rsidR="00896FBB" w:rsidRDefault="00896FBB" w:rsidP="0008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1418194"/>
      <w:docPartObj>
        <w:docPartGallery w:val="Page Numbers (Bottom of Page)"/>
        <w:docPartUnique/>
      </w:docPartObj>
    </w:sdtPr>
    <w:sdtEndPr>
      <w:rPr>
        <w:rStyle w:val="PageNumber"/>
      </w:rPr>
    </w:sdtEndPr>
    <w:sdtContent>
      <w:p w14:paraId="28DE4BC9" w14:textId="7F997198" w:rsidR="00085933" w:rsidRDefault="00085933" w:rsidP="006246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A077E" w14:textId="77777777" w:rsidR="00085933" w:rsidRDefault="00085933" w:rsidP="000859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6329012"/>
      <w:docPartObj>
        <w:docPartGallery w:val="Page Numbers (Bottom of Page)"/>
        <w:docPartUnique/>
      </w:docPartObj>
    </w:sdtPr>
    <w:sdtEndPr>
      <w:rPr>
        <w:rStyle w:val="PageNumber"/>
      </w:rPr>
    </w:sdtEndPr>
    <w:sdtContent>
      <w:p w14:paraId="4A9F30E1" w14:textId="29FC0128" w:rsidR="00085933" w:rsidRDefault="00085933" w:rsidP="006246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FB61C38" w14:textId="3C41AC31" w:rsidR="00085933" w:rsidRDefault="00085933" w:rsidP="00085933">
    <w:pPr>
      <w:pStyle w:val="Footer"/>
      <w:ind w:right="360"/>
      <w:rPr>
        <w:rFonts w:ascii="Times New Roman" w:hAnsi="Times New Roman" w:cs="Times New Roman"/>
        <w:sz w:val="16"/>
        <w:szCs w:val="16"/>
        <w:lang w:val="fr-FR"/>
      </w:rPr>
    </w:pPr>
    <w:r w:rsidRPr="004A1F7F">
      <w:rPr>
        <w:rFonts w:ascii="Times New Roman" w:hAnsi="Times New Roman" w:cs="Times New Roman"/>
        <w:sz w:val="16"/>
        <w:szCs w:val="16"/>
        <w:lang w:val="fr-FR"/>
      </w:rPr>
      <w:t>BCTE_PDS</w:t>
    </w:r>
    <w:r>
      <w:rPr>
        <w:rFonts w:ascii="Times New Roman" w:hAnsi="Times New Roman" w:cs="Times New Roman"/>
        <w:sz w:val="16"/>
        <w:szCs w:val="16"/>
        <w:lang w:val="fr-FR"/>
      </w:rPr>
      <w:t xml:space="preserve">_Corona2020_Deel </w:t>
    </w:r>
    <w:r w:rsidR="002C4A0F">
      <w:rPr>
        <w:rFonts w:ascii="Times New Roman" w:hAnsi="Times New Roman" w:cs="Times New Roman"/>
        <w:sz w:val="16"/>
        <w:szCs w:val="16"/>
        <w:lang w:val="fr-FR"/>
      </w:rPr>
      <w:t>1</w:t>
    </w:r>
    <w:r w:rsidR="002E0AE8">
      <w:rPr>
        <w:rFonts w:ascii="Times New Roman" w:hAnsi="Times New Roman" w:cs="Times New Roman"/>
        <w:sz w:val="16"/>
        <w:szCs w:val="16"/>
        <w:lang w:val="fr-FR"/>
      </w:rPr>
      <w:t>1</w:t>
    </w:r>
    <w:r>
      <w:rPr>
        <w:rFonts w:ascii="Times New Roman" w:hAnsi="Times New Roman" w:cs="Times New Roman"/>
        <w:sz w:val="16"/>
        <w:szCs w:val="16"/>
        <w:lang w:val="fr-FR"/>
      </w:rPr>
      <w:t>_</w:t>
    </w:r>
    <w:r w:rsidR="002C4A0F">
      <w:rPr>
        <w:rFonts w:ascii="Times New Roman" w:hAnsi="Times New Roman" w:cs="Times New Roman"/>
        <w:sz w:val="16"/>
        <w:szCs w:val="16"/>
        <w:lang w:val="fr-FR"/>
      </w:rPr>
      <w:t>04</w:t>
    </w:r>
    <w:r>
      <w:rPr>
        <w:rFonts w:ascii="Times New Roman" w:hAnsi="Times New Roman" w:cs="Times New Roman"/>
        <w:sz w:val="16"/>
        <w:szCs w:val="16"/>
        <w:lang w:val="fr-FR"/>
      </w:rPr>
      <w:t>/0</w:t>
    </w:r>
    <w:r w:rsidR="002C4A0F">
      <w:rPr>
        <w:rFonts w:ascii="Times New Roman" w:hAnsi="Times New Roman" w:cs="Times New Roman"/>
        <w:sz w:val="16"/>
        <w:szCs w:val="16"/>
        <w:lang w:val="fr-FR"/>
      </w:rPr>
      <w:t>6</w:t>
    </w:r>
  </w:p>
  <w:p w14:paraId="69793BD9" w14:textId="77777777" w:rsidR="00085933" w:rsidRDefault="00085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5CE65" w14:textId="77777777" w:rsidR="00896FBB" w:rsidRDefault="00896FBB" w:rsidP="00085933">
      <w:r>
        <w:separator/>
      </w:r>
    </w:p>
  </w:footnote>
  <w:footnote w:type="continuationSeparator" w:id="0">
    <w:p w14:paraId="31133577" w14:textId="77777777" w:rsidR="00896FBB" w:rsidRDefault="00896FBB" w:rsidP="0008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CDA7A" w14:textId="1F65644B" w:rsidR="00085933" w:rsidRDefault="00085933">
    <w:pPr>
      <w:pStyle w:val="Header"/>
    </w:pPr>
    <w:r w:rsidRPr="00AE7E89">
      <w:rPr>
        <w:rFonts w:cstheme="minorHAnsi"/>
        <w:noProof/>
      </w:rPr>
      <w:drawing>
        <wp:inline distT="0" distB="0" distL="0" distR="0" wp14:anchorId="0FC55B6E" wp14:editId="215137B2">
          <wp:extent cx="1507295" cy="261257"/>
          <wp:effectExtent l="0" t="0" r="4445"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3938" cy="2832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581A"/>
    <w:multiLevelType w:val="multilevel"/>
    <w:tmpl w:val="4BE04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D0DFE"/>
    <w:multiLevelType w:val="multilevel"/>
    <w:tmpl w:val="FA20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7581B"/>
    <w:multiLevelType w:val="hybridMultilevel"/>
    <w:tmpl w:val="8810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15736"/>
    <w:multiLevelType w:val="hybridMultilevel"/>
    <w:tmpl w:val="FFC82F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F978D4"/>
    <w:multiLevelType w:val="multilevel"/>
    <w:tmpl w:val="722C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804AC"/>
    <w:multiLevelType w:val="hybridMultilevel"/>
    <w:tmpl w:val="EEDCEC5C"/>
    <w:lvl w:ilvl="0" w:tplc="5770E95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3E13B8"/>
    <w:multiLevelType w:val="multilevel"/>
    <w:tmpl w:val="4A72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7298A"/>
    <w:multiLevelType w:val="multilevel"/>
    <w:tmpl w:val="77BA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26799"/>
    <w:multiLevelType w:val="hybridMultilevel"/>
    <w:tmpl w:val="6BA2C81E"/>
    <w:lvl w:ilvl="0" w:tplc="5770E95E">
      <w:start w:val="1"/>
      <w:numFmt w:val="bullet"/>
      <w:lvlText w:val=""/>
      <w:lvlJc w:val="left"/>
      <w:pPr>
        <w:ind w:left="1287" w:hanging="360"/>
      </w:pPr>
      <w:rPr>
        <w:rFonts w:ascii="Symbol" w:hAnsi="Symbo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9306CA8"/>
    <w:multiLevelType w:val="multilevel"/>
    <w:tmpl w:val="6820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E0471A"/>
    <w:multiLevelType w:val="multilevel"/>
    <w:tmpl w:val="0C1C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C123F"/>
    <w:multiLevelType w:val="hybridMultilevel"/>
    <w:tmpl w:val="4EA8D2A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ECD5D20"/>
    <w:multiLevelType w:val="multilevel"/>
    <w:tmpl w:val="A03E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F82C26"/>
    <w:multiLevelType w:val="multilevel"/>
    <w:tmpl w:val="F75E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F328D8"/>
    <w:multiLevelType w:val="multilevel"/>
    <w:tmpl w:val="5660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514E86"/>
    <w:multiLevelType w:val="hybridMultilevel"/>
    <w:tmpl w:val="3C307A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CD5FDA"/>
    <w:multiLevelType w:val="multilevel"/>
    <w:tmpl w:val="E334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6A6C81"/>
    <w:multiLevelType w:val="multilevel"/>
    <w:tmpl w:val="CB84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54691B"/>
    <w:multiLevelType w:val="multilevel"/>
    <w:tmpl w:val="ED1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A46A8D"/>
    <w:multiLevelType w:val="multilevel"/>
    <w:tmpl w:val="003E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C20DB5"/>
    <w:multiLevelType w:val="multilevel"/>
    <w:tmpl w:val="335A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B25767"/>
    <w:multiLevelType w:val="multilevel"/>
    <w:tmpl w:val="B1D0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8C2A05"/>
    <w:multiLevelType w:val="multilevel"/>
    <w:tmpl w:val="79EA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9E1832"/>
    <w:multiLevelType w:val="multilevel"/>
    <w:tmpl w:val="BFE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131B6A"/>
    <w:multiLevelType w:val="multilevel"/>
    <w:tmpl w:val="B7EA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E25E7"/>
    <w:multiLevelType w:val="multilevel"/>
    <w:tmpl w:val="B3B8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5032D9"/>
    <w:multiLevelType w:val="multilevel"/>
    <w:tmpl w:val="D694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130B27"/>
    <w:multiLevelType w:val="multilevel"/>
    <w:tmpl w:val="F926B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1E5971"/>
    <w:multiLevelType w:val="hybridMultilevel"/>
    <w:tmpl w:val="F42CED1A"/>
    <w:lvl w:ilvl="0" w:tplc="A378A990">
      <w:start w:val="1"/>
      <w:numFmt w:val="decimal"/>
      <w:lvlText w:val="%1."/>
      <w:lvlJc w:val="left"/>
      <w:pPr>
        <w:ind w:left="360" w:hanging="360"/>
      </w:pPr>
      <w:rPr>
        <w:b/>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B26145E"/>
    <w:multiLevelType w:val="multilevel"/>
    <w:tmpl w:val="16AA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755884"/>
    <w:multiLevelType w:val="multilevel"/>
    <w:tmpl w:val="F1D0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32F8A"/>
    <w:multiLevelType w:val="multilevel"/>
    <w:tmpl w:val="E4A6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C220A1"/>
    <w:multiLevelType w:val="multilevel"/>
    <w:tmpl w:val="E95E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D370A4"/>
    <w:multiLevelType w:val="multilevel"/>
    <w:tmpl w:val="1FF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557AB"/>
    <w:multiLevelType w:val="multilevel"/>
    <w:tmpl w:val="0FC4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9F6215"/>
    <w:multiLevelType w:val="hybridMultilevel"/>
    <w:tmpl w:val="04E629CA"/>
    <w:lvl w:ilvl="0" w:tplc="5770E95E">
      <w:start w:val="1"/>
      <w:numFmt w:val="bullet"/>
      <w:lvlText w:val=""/>
      <w:lvlJc w:val="left"/>
      <w:pPr>
        <w:ind w:left="1287" w:hanging="360"/>
      </w:pPr>
      <w:rPr>
        <w:rFonts w:ascii="Symbol" w:hAnsi="Symbo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4DB6F2B"/>
    <w:multiLevelType w:val="multilevel"/>
    <w:tmpl w:val="27F2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176ED8"/>
    <w:multiLevelType w:val="hybridMultilevel"/>
    <w:tmpl w:val="4704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058F8"/>
    <w:multiLevelType w:val="hybridMultilevel"/>
    <w:tmpl w:val="87184852"/>
    <w:lvl w:ilvl="0" w:tplc="5770E95E">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2D60CC"/>
    <w:multiLevelType w:val="multilevel"/>
    <w:tmpl w:val="6F8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B21188"/>
    <w:multiLevelType w:val="multilevel"/>
    <w:tmpl w:val="82FC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097B7A"/>
    <w:multiLevelType w:val="multilevel"/>
    <w:tmpl w:val="90C4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FA0CD8"/>
    <w:multiLevelType w:val="hybridMultilevel"/>
    <w:tmpl w:val="C5026C54"/>
    <w:lvl w:ilvl="0" w:tplc="5770E95E">
      <w:start w:val="1"/>
      <w:numFmt w:val="bullet"/>
      <w:lvlText w:val=""/>
      <w:lvlJc w:val="left"/>
      <w:pPr>
        <w:ind w:left="1287" w:hanging="360"/>
      </w:pPr>
      <w:rPr>
        <w:rFonts w:ascii="Symbol" w:hAnsi="Symbo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79F9144A"/>
    <w:multiLevelType w:val="multilevel"/>
    <w:tmpl w:val="1A16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9"/>
  </w:num>
  <w:num w:numId="3">
    <w:abstractNumId w:val="21"/>
  </w:num>
  <w:num w:numId="4">
    <w:abstractNumId w:val="12"/>
  </w:num>
  <w:num w:numId="5">
    <w:abstractNumId w:val="1"/>
  </w:num>
  <w:num w:numId="6">
    <w:abstractNumId w:val="30"/>
  </w:num>
  <w:num w:numId="7">
    <w:abstractNumId w:val="24"/>
  </w:num>
  <w:num w:numId="8">
    <w:abstractNumId w:val="0"/>
  </w:num>
  <w:num w:numId="9">
    <w:abstractNumId w:val="27"/>
  </w:num>
  <w:num w:numId="10">
    <w:abstractNumId w:val="22"/>
  </w:num>
  <w:num w:numId="11">
    <w:abstractNumId w:val="34"/>
  </w:num>
  <w:num w:numId="12">
    <w:abstractNumId w:val="18"/>
  </w:num>
  <w:num w:numId="13">
    <w:abstractNumId w:val="9"/>
  </w:num>
  <w:num w:numId="14">
    <w:abstractNumId w:val="32"/>
  </w:num>
  <w:num w:numId="15">
    <w:abstractNumId w:val="17"/>
  </w:num>
  <w:num w:numId="16">
    <w:abstractNumId w:val="29"/>
  </w:num>
  <w:num w:numId="17">
    <w:abstractNumId w:val="31"/>
  </w:num>
  <w:num w:numId="18">
    <w:abstractNumId w:val="14"/>
  </w:num>
  <w:num w:numId="19">
    <w:abstractNumId w:val="25"/>
  </w:num>
  <w:num w:numId="20">
    <w:abstractNumId w:val="26"/>
  </w:num>
  <w:num w:numId="21">
    <w:abstractNumId w:val="35"/>
  </w:num>
  <w:num w:numId="22">
    <w:abstractNumId w:val="8"/>
  </w:num>
  <w:num w:numId="23">
    <w:abstractNumId w:val="42"/>
  </w:num>
  <w:num w:numId="24">
    <w:abstractNumId w:val="33"/>
  </w:num>
  <w:num w:numId="25">
    <w:abstractNumId w:val="13"/>
  </w:num>
  <w:num w:numId="26">
    <w:abstractNumId w:val="7"/>
  </w:num>
  <w:num w:numId="27">
    <w:abstractNumId w:val="19"/>
  </w:num>
  <w:num w:numId="28">
    <w:abstractNumId w:val="36"/>
  </w:num>
  <w:num w:numId="29">
    <w:abstractNumId w:val="6"/>
  </w:num>
  <w:num w:numId="30">
    <w:abstractNumId w:val="41"/>
  </w:num>
  <w:num w:numId="31">
    <w:abstractNumId w:val="43"/>
  </w:num>
  <w:num w:numId="32">
    <w:abstractNumId w:val="38"/>
  </w:num>
  <w:num w:numId="33">
    <w:abstractNumId w:val="3"/>
  </w:num>
  <w:num w:numId="34">
    <w:abstractNumId w:val="5"/>
  </w:num>
  <w:num w:numId="35">
    <w:abstractNumId w:val="10"/>
  </w:num>
  <w:num w:numId="36">
    <w:abstractNumId w:val="16"/>
  </w:num>
  <w:num w:numId="37">
    <w:abstractNumId w:val="4"/>
  </w:num>
  <w:num w:numId="38">
    <w:abstractNumId w:val="37"/>
  </w:num>
  <w:num w:numId="39">
    <w:abstractNumId w:val="40"/>
  </w:num>
  <w:num w:numId="40">
    <w:abstractNumId w:val="23"/>
  </w:num>
  <w:num w:numId="41">
    <w:abstractNumId w:val="2"/>
  </w:num>
  <w:num w:numId="42">
    <w:abstractNumId w:val="11"/>
  </w:num>
  <w:num w:numId="43">
    <w:abstractNumId w:val="1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33"/>
    <w:rsid w:val="00003AE3"/>
    <w:rsid w:val="0002116D"/>
    <w:rsid w:val="00037817"/>
    <w:rsid w:val="00041F87"/>
    <w:rsid w:val="00085933"/>
    <w:rsid w:val="00131E41"/>
    <w:rsid w:val="002C4A0F"/>
    <w:rsid w:val="002E0AE8"/>
    <w:rsid w:val="00395F9C"/>
    <w:rsid w:val="004455A3"/>
    <w:rsid w:val="004B6C0A"/>
    <w:rsid w:val="00536A68"/>
    <w:rsid w:val="005B489A"/>
    <w:rsid w:val="0063598A"/>
    <w:rsid w:val="00680F9C"/>
    <w:rsid w:val="006A2806"/>
    <w:rsid w:val="006A56CB"/>
    <w:rsid w:val="006E6FBE"/>
    <w:rsid w:val="0073233E"/>
    <w:rsid w:val="00784F10"/>
    <w:rsid w:val="00835EE5"/>
    <w:rsid w:val="00896FBB"/>
    <w:rsid w:val="00BD5D63"/>
    <w:rsid w:val="00C127E1"/>
    <w:rsid w:val="00CA78B0"/>
    <w:rsid w:val="00D123FD"/>
    <w:rsid w:val="00DA373D"/>
    <w:rsid w:val="00DD447E"/>
    <w:rsid w:val="00E72574"/>
    <w:rsid w:val="00E913FD"/>
    <w:rsid w:val="00F24C7C"/>
    <w:rsid w:val="00F32473"/>
    <w:rsid w:val="00F361EF"/>
    <w:rsid w:val="00F849C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404D0EA"/>
  <w15:chartTrackingRefBased/>
  <w15:docId w15:val="{6A297F02-B21D-CC47-AD5F-3913C6AB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593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8593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08593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93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8593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085933"/>
    <w:rPr>
      <w:rFonts w:ascii="Times New Roman" w:eastAsia="Times New Roman" w:hAnsi="Times New Roman" w:cs="Times New Roman"/>
      <w:b/>
      <w:bCs/>
      <w:lang w:eastAsia="en-GB"/>
    </w:rPr>
  </w:style>
  <w:style w:type="paragraph" w:customStyle="1" w:styleId="Date1">
    <w:name w:val="Date1"/>
    <w:basedOn w:val="Normal"/>
    <w:rsid w:val="0008593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85933"/>
  </w:style>
  <w:style w:type="paragraph" w:styleId="NormalWeb">
    <w:name w:val="Normal (Web)"/>
    <w:basedOn w:val="Normal"/>
    <w:uiPriority w:val="99"/>
    <w:semiHidden/>
    <w:unhideWhenUsed/>
    <w:rsid w:val="0008593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85933"/>
    <w:rPr>
      <w:b/>
      <w:bCs/>
    </w:rPr>
  </w:style>
  <w:style w:type="character" w:styleId="Emphasis">
    <w:name w:val="Emphasis"/>
    <w:basedOn w:val="DefaultParagraphFont"/>
    <w:uiPriority w:val="20"/>
    <w:qFormat/>
    <w:rsid w:val="00085933"/>
    <w:rPr>
      <w:i/>
      <w:iCs/>
    </w:rPr>
  </w:style>
  <w:style w:type="character" w:styleId="HTMLCite">
    <w:name w:val="HTML Cite"/>
    <w:basedOn w:val="DefaultParagraphFont"/>
    <w:uiPriority w:val="99"/>
    <w:semiHidden/>
    <w:unhideWhenUsed/>
    <w:rsid w:val="00085933"/>
    <w:rPr>
      <w:i/>
      <w:iCs/>
    </w:rPr>
  </w:style>
  <w:style w:type="paragraph" w:styleId="Header">
    <w:name w:val="header"/>
    <w:basedOn w:val="Normal"/>
    <w:link w:val="HeaderChar"/>
    <w:uiPriority w:val="99"/>
    <w:unhideWhenUsed/>
    <w:rsid w:val="00085933"/>
    <w:pPr>
      <w:tabs>
        <w:tab w:val="center" w:pos="4513"/>
        <w:tab w:val="right" w:pos="9026"/>
      </w:tabs>
    </w:pPr>
  </w:style>
  <w:style w:type="character" w:customStyle="1" w:styleId="HeaderChar">
    <w:name w:val="Header Char"/>
    <w:basedOn w:val="DefaultParagraphFont"/>
    <w:link w:val="Header"/>
    <w:uiPriority w:val="99"/>
    <w:rsid w:val="00085933"/>
  </w:style>
  <w:style w:type="paragraph" w:styleId="Footer">
    <w:name w:val="footer"/>
    <w:basedOn w:val="Normal"/>
    <w:link w:val="FooterChar"/>
    <w:uiPriority w:val="99"/>
    <w:unhideWhenUsed/>
    <w:rsid w:val="00085933"/>
    <w:pPr>
      <w:tabs>
        <w:tab w:val="center" w:pos="4513"/>
        <w:tab w:val="right" w:pos="9026"/>
      </w:tabs>
    </w:pPr>
  </w:style>
  <w:style w:type="character" w:customStyle="1" w:styleId="FooterChar">
    <w:name w:val="Footer Char"/>
    <w:basedOn w:val="DefaultParagraphFont"/>
    <w:link w:val="Footer"/>
    <w:uiPriority w:val="99"/>
    <w:rsid w:val="00085933"/>
  </w:style>
  <w:style w:type="character" w:styleId="PageNumber">
    <w:name w:val="page number"/>
    <w:basedOn w:val="DefaultParagraphFont"/>
    <w:uiPriority w:val="99"/>
    <w:semiHidden/>
    <w:unhideWhenUsed/>
    <w:rsid w:val="00085933"/>
  </w:style>
  <w:style w:type="paragraph" w:styleId="ListParagraph">
    <w:name w:val="List Paragraph"/>
    <w:basedOn w:val="Normal"/>
    <w:uiPriority w:val="34"/>
    <w:qFormat/>
    <w:rsid w:val="00F361EF"/>
    <w:pPr>
      <w:ind w:left="720"/>
      <w:contextualSpacing/>
    </w:pPr>
  </w:style>
  <w:style w:type="character" w:styleId="Hyperlink">
    <w:name w:val="Hyperlink"/>
    <w:basedOn w:val="DefaultParagraphFont"/>
    <w:uiPriority w:val="99"/>
    <w:unhideWhenUsed/>
    <w:rsid w:val="00395F9C"/>
    <w:rPr>
      <w:color w:val="0563C1" w:themeColor="hyperlink"/>
      <w:u w:val="single"/>
    </w:rPr>
  </w:style>
  <w:style w:type="character" w:styleId="UnresolvedMention">
    <w:name w:val="Unresolved Mention"/>
    <w:basedOn w:val="DefaultParagraphFont"/>
    <w:uiPriority w:val="99"/>
    <w:semiHidden/>
    <w:unhideWhenUsed/>
    <w:rsid w:val="00395F9C"/>
    <w:rPr>
      <w:color w:val="605E5C"/>
      <w:shd w:val="clear" w:color="auto" w:fill="E1DFDD"/>
    </w:rPr>
  </w:style>
  <w:style w:type="character" w:styleId="FollowedHyperlink">
    <w:name w:val="FollowedHyperlink"/>
    <w:basedOn w:val="DefaultParagraphFont"/>
    <w:uiPriority w:val="99"/>
    <w:semiHidden/>
    <w:unhideWhenUsed/>
    <w:rsid w:val="00F849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0839">
      <w:bodyDiv w:val="1"/>
      <w:marLeft w:val="0"/>
      <w:marRight w:val="0"/>
      <w:marTop w:val="0"/>
      <w:marBottom w:val="0"/>
      <w:divBdr>
        <w:top w:val="none" w:sz="0" w:space="0" w:color="auto"/>
        <w:left w:val="none" w:sz="0" w:space="0" w:color="auto"/>
        <w:bottom w:val="none" w:sz="0" w:space="0" w:color="auto"/>
        <w:right w:val="none" w:sz="0" w:space="0" w:color="auto"/>
      </w:divBdr>
    </w:div>
    <w:div w:id="91822608">
      <w:bodyDiv w:val="1"/>
      <w:marLeft w:val="0"/>
      <w:marRight w:val="0"/>
      <w:marTop w:val="0"/>
      <w:marBottom w:val="0"/>
      <w:divBdr>
        <w:top w:val="none" w:sz="0" w:space="0" w:color="auto"/>
        <w:left w:val="none" w:sz="0" w:space="0" w:color="auto"/>
        <w:bottom w:val="none" w:sz="0" w:space="0" w:color="auto"/>
        <w:right w:val="none" w:sz="0" w:space="0" w:color="auto"/>
      </w:divBdr>
    </w:div>
    <w:div w:id="103770839">
      <w:bodyDiv w:val="1"/>
      <w:marLeft w:val="0"/>
      <w:marRight w:val="0"/>
      <w:marTop w:val="0"/>
      <w:marBottom w:val="0"/>
      <w:divBdr>
        <w:top w:val="none" w:sz="0" w:space="0" w:color="auto"/>
        <w:left w:val="none" w:sz="0" w:space="0" w:color="auto"/>
        <w:bottom w:val="none" w:sz="0" w:space="0" w:color="auto"/>
        <w:right w:val="none" w:sz="0" w:space="0" w:color="auto"/>
      </w:divBdr>
    </w:div>
    <w:div w:id="189952703">
      <w:bodyDiv w:val="1"/>
      <w:marLeft w:val="0"/>
      <w:marRight w:val="0"/>
      <w:marTop w:val="0"/>
      <w:marBottom w:val="0"/>
      <w:divBdr>
        <w:top w:val="none" w:sz="0" w:space="0" w:color="auto"/>
        <w:left w:val="none" w:sz="0" w:space="0" w:color="auto"/>
        <w:bottom w:val="none" w:sz="0" w:space="0" w:color="auto"/>
        <w:right w:val="none" w:sz="0" w:space="0" w:color="auto"/>
      </w:divBdr>
      <w:divsChild>
        <w:div w:id="737748832">
          <w:marLeft w:val="0"/>
          <w:marRight w:val="0"/>
          <w:marTop w:val="0"/>
          <w:marBottom w:val="348"/>
          <w:divBdr>
            <w:top w:val="none" w:sz="0" w:space="0" w:color="auto"/>
            <w:left w:val="none" w:sz="0" w:space="0" w:color="auto"/>
            <w:bottom w:val="none" w:sz="0" w:space="0" w:color="auto"/>
            <w:right w:val="none" w:sz="0" w:space="0" w:color="auto"/>
          </w:divBdr>
        </w:div>
      </w:divsChild>
    </w:div>
    <w:div w:id="215169271">
      <w:bodyDiv w:val="1"/>
      <w:marLeft w:val="0"/>
      <w:marRight w:val="0"/>
      <w:marTop w:val="0"/>
      <w:marBottom w:val="0"/>
      <w:divBdr>
        <w:top w:val="none" w:sz="0" w:space="0" w:color="auto"/>
        <w:left w:val="none" w:sz="0" w:space="0" w:color="auto"/>
        <w:bottom w:val="none" w:sz="0" w:space="0" w:color="auto"/>
        <w:right w:val="none" w:sz="0" w:space="0" w:color="auto"/>
      </w:divBdr>
    </w:div>
    <w:div w:id="274290313">
      <w:bodyDiv w:val="1"/>
      <w:marLeft w:val="0"/>
      <w:marRight w:val="0"/>
      <w:marTop w:val="0"/>
      <w:marBottom w:val="0"/>
      <w:divBdr>
        <w:top w:val="none" w:sz="0" w:space="0" w:color="auto"/>
        <w:left w:val="none" w:sz="0" w:space="0" w:color="auto"/>
        <w:bottom w:val="none" w:sz="0" w:space="0" w:color="auto"/>
        <w:right w:val="none" w:sz="0" w:space="0" w:color="auto"/>
      </w:divBdr>
    </w:div>
    <w:div w:id="363798958">
      <w:bodyDiv w:val="1"/>
      <w:marLeft w:val="0"/>
      <w:marRight w:val="0"/>
      <w:marTop w:val="0"/>
      <w:marBottom w:val="0"/>
      <w:divBdr>
        <w:top w:val="none" w:sz="0" w:space="0" w:color="auto"/>
        <w:left w:val="none" w:sz="0" w:space="0" w:color="auto"/>
        <w:bottom w:val="none" w:sz="0" w:space="0" w:color="auto"/>
        <w:right w:val="none" w:sz="0" w:space="0" w:color="auto"/>
      </w:divBdr>
    </w:div>
    <w:div w:id="417334400">
      <w:bodyDiv w:val="1"/>
      <w:marLeft w:val="0"/>
      <w:marRight w:val="0"/>
      <w:marTop w:val="0"/>
      <w:marBottom w:val="0"/>
      <w:divBdr>
        <w:top w:val="none" w:sz="0" w:space="0" w:color="auto"/>
        <w:left w:val="none" w:sz="0" w:space="0" w:color="auto"/>
        <w:bottom w:val="none" w:sz="0" w:space="0" w:color="auto"/>
        <w:right w:val="none" w:sz="0" w:space="0" w:color="auto"/>
      </w:divBdr>
    </w:div>
    <w:div w:id="626276589">
      <w:bodyDiv w:val="1"/>
      <w:marLeft w:val="0"/>
      <w:marRight w:val="0"/>
      <w:marTop w:val="0"/>
      <w:marBottom w:val="0"/>
      <w:divBdr>
        <w:top w:val="none" w:sz="0" w:space="0" w:color="auto"/>
        <w:left w:val="none" w:sz="0" w:space="0" w:color="auto"/>
        <w:bottom w:val="none" w:sz="0" w:space="0" w:color="auto"/>
        <w:right w:val="none" w:sz="0" w:space="0" w:color="auto"/>
      </w:divBdr>
    </w:div>
    <w:div w:id="728959493">
      <w:bodyDiv w:val="1"/>
      <w:marLeft w:val="0"/>
      <w:marRight w:val="0"/>
      <w:marTop w:val="0"/>
      <w:marBottom w:val="0"/>
      <w:divBdr>
        <w:top w:val="none" w:sz="0" w:space="0" w:color="auto"/>
        <w:left w:val="none" w:sz="0" w:space="0" w:color="auto"/>
        <w:bottom w:val="none" w:sz="0" w:space="0" w:color="auto"/>
        <w:right w:val="none" w:sz="0" w:space="0" w:color="auto"/>
      </w:divBdr>
    </w:div>
    <w:div w:id="767314447">
      <w:bodyDiv w:val="1"/>
      <w:marLeft w:val="0"/>
      <w:marRight w:val="0"/>
      <w:marTop w:val="0"/>
      <w:marBottom w:val="0"/>
      <w:divBdr>
        <w:top w:val="none" w:sz="0" w:space="0" w:color="auto"/>
        <w:left w:val="none" w:sz="0" w:space="0" w:color="auto"/>
        <w:bottom w:val="none" w:sz="0" w:space="0" w:color="auto"/>
        <w:right w:val="none" w:sz="0" w:space="0" w:color="auto"/>
      </w:divBdr>
    </w:div>
    <w:div w:id="777604931">
      <w:bodyDiv w:val="1"/>
      <w:marLeft w:val="0"/>
      <w:marRight w:val="0"/>
      <w:marTop w:val="0"/>
      <w:marBottom w:val="0"/>
      <w:divBdr>
        <w:top w:val="none" w:sz="0" w:space="0" w:color="auto"/>
        <w:left w:val="none" w:sz="0" w:space="0" w:color="auto"/>
        <w:bottom w:val="none" w:sz="0" w:space="0" w:color="auto"/>
        <w:right w:val="none" w:sz="0" w:space="0" w:color="auto"/>
      </w:divBdr>
    </w:div>
    <w:div w:id="789056507">
      <w:bodyDiv w:val="1"/>
      <w:marLeft w:val="0"/>
      <w:marRight w:val="0"/>
      <w:marTop w:val="0"/>
      <w:marBottom w:val="0"/>
      <w:divBdr>
        <w:top w:val="none" w:sz="0" w:space="0" w:color="auto"/>
        <w:left w:val="none" w:sz="0" w:space="0" w:color="auto"/>
        <w:bottom w:val="none" w:sz="0" w:space="0" w:color="auto"/>
        <w:right w:val="none" w:sz="0" w:space="0" w:color="auto"/>
      </w:divBdr>
    </w:div>
    <w:div w:id="791750159">
      <w:bodyDiv w:val="1"/>
      <w:marLeft w:val="0"/>
      <w:marRight w:val="0"/>
      <w:marTop w:val="0"/>
      <w:marBottom w:val="0"/>
      <w:divBdr>
        <w:top w:val="none" w:sz="0" w:space="0" w:color="auto"/>
        <w:left w:val="none" w:sz="0" w:space="0" w:color="auto"/>
        <w:bottom w:val="none" w:sz="0" w:space="0" w:color="auto"/>
        <w:right w:val="none" w:sz="0" w:space="0" w:color="auto"/>
      </w:divBdr>
      <w:divsChild>
        <w:div w:id="52972814">
          <w:marLeft w:val="0"/>
          <w:marRight w:val="0"/>
          <w:marTop w:val="0"/>
          <w:marBottom w:val="348"/>
          <w:divBdr>
            <w:top w:val="none" w:sz="0" w:space="0" w:color="auto"/>
            <w:left w:val="none" w:sz="0" w:space="0" w:color="auto"/>
            <w:bottom w:val="none" w:sz="0" w:space="0" w:color="auto"/>
            <w:right w:val="none" w:sz="0" w:space="0" w:color="auto"/>
          </w:divBdr>
        </w:div>
        <w:div w:id="678313432">
          <w:blockQuote w:val="1"/>
          <w:marLeft w:val="30"/>
          <w:marRight w:val="90"/>
          <w:marTop w:val="100"/>
          <w:marBottom w:val="100"/>
          <w:divBdr>
            <w:top w:val="none" w:sz="0" w:space="0" w:color="auto"/>
            <w:left w:val="single" w:sz="18" w:space="12" w:color="auto"/>
            <w:bottom w:val="none" w:sz="0" w:space="0" w:color="auto"/>
            <w:right w:val="none" w:sz="0" w:space="0" w:color="auto"/>
          </w:divBdr>
        </w:div>
        <w:div w:id="2043549184">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 w:id="823665314">
      <w:bodyDiv w:val="1"/>
      <w:marLeft w:val="0"/>
      <w:marRight w:val="0"/>
      <w:marTop w:val="0"/>
      <w:marBottom w:val="0"/>
      <w:divBdr>
        <w:top w:val="none" w:sz="0" w:space="0" w:color="auto"/>
        <w:left w:val="none" w:sz="0" w:space="0" w:color="auto"/>
        <w:bottom w:val="none" w:sz="0" w:space="0" w:color="auto"/>
        <w:right w:val="none" w:sz="0" w:space="0" w:color="auto"/>
      </w:divBdr>
    </w:div>
    <w:div w:id="841629146">
      <w:bodyDiv w:val="1"/>
      <w:marLeft w:val="0"/>
      <w:marRight w:val="0"/>
      <w:marTop w:val="0"/>
      <w:marBottom w:val="0"/>
      <w:divBdr>
        <w:top w:val="none" w:sz="0" w:space="0" w:color="auto"/>
        <w:left w:val="none" w:sz="0" w:space="0" w:color="auto"/>
        <w:bottom w:val="none" w:sz="0" w:space="0" w:color="auto"/>
        <w:right w:val="none" w:sz="0" w:space="0" w:color="auto"/>
      </w:divBdr>
    </w:div>
    <w:div w:id="918636163">
      <w:bodyDiv w:val="1"/>
      <w:marLeft w:val="0"/>
      <w:marRight w:val="0"/>
      <w:marTop w:val="0"/>
      <w:marBottom w:val="0"/>
      <w:divBdr>
        <w:top w:val="none" w:sz="0" w:space="0" w:color="auto"/>
        <w:left w:val="none" w:sz="0" w:space="0" w:color="auto"/>
        <w:bottom w:val="none" w:sz="0" w:space="0" w:color="auto"/>
        <w:right w:val="none" w:sz="0" w:space="0" w:color="auto"/>
      </w:divBdr>
      <w:divsChild>
        <w:div w:id="1741706966">
          <w:marLeft w:val="0"/>
          <w:marRight w:val="0"/>
          <w:marTop w:val="0"/>
          <w:marBottom w:val="348"/>
          <w:divBdr>
            <w:top w:val="none" w:sz="0" w:space="0" w:color="auto"/>
            <w:left w:val="none" w:sz="0" w:space="0" w:color="auto"/>
            <w:bottom w:val="none" w:sz="0" w:space="0" w:color="auto"/>
            <w:right w:val="none" w:sz="0" w:space="0" w:color="auto"/>
          </w:divBdr>
        </w:div>
      </w:divsChild>
    </w:div>
    <w:div w:id="929201175">
      <w:bodyDiv w:val="1"/>
      <w:marLeft w:val="0"/>
      <w:marRight w:val="0"/>
      <w:marTop w:val="0"/>
      <w:marBottom w:val="0"/>
      <w:divBdr>
        <w:top w:val="none" w:sz="0" w:space="0" w:color="auto"/>
        <w:left w:val="none" w:sz="0" w:space="0" w:color="auto"/>
        <w:bottom w:val="none" w:sz="0" w:space="0" w:color="auto"/>
        <w:right w:val="none" w:sz="0" w:space="0" w:color="auto"/>
      </w:divBdr>
    </w:div>
    <w:div w:id="1146749905">
      <w:bodyDiv w:val="1"/>
      <w:marLeft w:val="0"/>
      <w:marRight w:val="0"/>
      <w:marTop w:val="0"/>
      <w:marBottom w:val="0"/>
      <w:divBdr>
        <w:top w:val="none" w:sz="0" w:space="0" w:color="auto"/>
        <w:left w:val="none" w:sz="0" w:space="0" w:color="auto"/>
        <w:bottom w:val="none" w:sz="0" w:space="0" w:color="auto"/>
        <w:right w:val="none" w:sz="0" w:space="0" w:color="auto"/>
      </w:divBdr>
    </w:div>
    <w:div w:id="1313483178">
      <w:bodyDiv w:val="1"/>
      <w:marLeft w:val="0"/>
      <w:marRight w:val="0"/>
      <w:marTop w:val="0"/>
      <w:marBottom w:val="0"/>
      <w:divBdr>
        <w:top w:val="none" w:sz="0" w:space="0" w:color="auto"/>
        <w:left w:val="none" w:sz="0" w:space="0" w:color="auto"/>
        <w:bottom w:val="none" w:sz="0" w:space="0" w:color="auto"/>
        <w:right w:val="none" w:sz="0" w:space="0" w:color="auto"/>
      </w:divBdr>
    </w:div>
    <w:div w:id="1358114305">
      <w:bodyDiv w:val="1"/>
      <w:marLeft w:val="0"/>
      <w:marRight w:val="0"/>
      <w:marTop w:val="0"/>
      <w:marBottom w:val="0"/>
      <w:divBdr>
        <w:top w:val="none" w:sz="0" w:space="0" w:color="auto"/>
        <w:left w:val="none" w:sz="0" w:space="0" w:color="auto"/>
        <w:bottom w:val="none" w:sz="0" w:space="0" w:color="auto"/>
        <w:right w:val="none" w:sz="0" w:space="0" w:color="auto"/>
      </w:divBdr>
    </w:div>
    <w:div w:id="1742487628">
      <w:bodyDiv w:val="1"/>
      <w:marLeft w:val="0"/>
      <w:marRight w:val="0"/>
      <w:marTop w:val="0"/>
      <w:marBottom w:val="0"/>
      <w:divBdr>
        <w:top w:val="none" w:sz="0" w:space="0" w:color="auto"/>
        <w:left w:val="none" w:sz="0" w:space="0" w:color="auto"/>
        <w:bottom w:val="none" w:sz="0" w:space="0" w:color="auto"/>
        <w:right w:val="none" w:sz="0" w:space="0" w:color="auto"/>
      </w:divBdr>
    </w:div>
    <w:div w:id="1749811440">
      <w:bodyDiv w:val="1"/>
      <w:marLeft w:val="0"/>
      <w:marRight w:val="0"/>
      <w:marTop w:val="0"/>
      <w:marBottom w:val="0"/>
      <w:divBdr>
        <w:top w:val="none" w:sz="0" w:space="0" w:color="auto"/>
        <w:left w:val="none" w:sz="0" w:space="0" w:color="auto"/>
        <w:bottom w:val="none" w:sz="0" w:space="0" w:color="auto"/>
        <w:right w:val="none" w:sz="0" w:space="0" w:color="auto"/>
      </w:divBdr>
    </w:div>
    <w:div w:id="1833594364">
      <w:bodyDiv w:val="1"/>
      <w:marLeft w:val="0"/>
      <w:marRight w:val="0"/>
      <w:marTop w:val="0"/>
      <w:marBottom w:val="0"/>
      <w:divBdr>
        <w:top w:val="none" w:sz="0" w:space="0" w:color="auto"/>
        <w:left w:val="none" w:sz="0" w:space="0" w:color="auto"/>
        <w:bottom w:val="none" w:sz="0" w:space="0" w:color="auto"/>
        <w:right w:val="none" w:sz="0" w:space="0" w:color="auto"/>
      </w:divBdr>
    </w:div>
    <w:div w:id="1892185191">
      <w:bodyDiv w:val="1"/>
      <w:marLeft w:val="0"/>
      <w:marRight w:val="0"/>
      <w:marTop w:val="0"/>
      <w:marBottom w:val="0"/>
      <w:divBdr>
        <w:top w:val="none" w:sz="0" w:space="0" w:color="auto"/>
        <w:left w:val="none" w:sz="0" w:space="0" w:color="auto"/>
        <w:bottom w:val="none" w:sz="0" w:space="0" w:color="auto"/>
        <w:right w:val="none" w:sz="0" w:space="0" w:color="auto"/>
      </w:divBdr>
    </w:div>
    <w:div w:id="2041512819">
      <w:bodyDiv w:val="1"/>
      <w:marLeft w:val="0"/>
      <w:marRight w:val="0"/>
      <w:marTop w:val="0"/>
      <w:marBottom w:val="0"/>
      <w:divBdr>
        <w:top w:val="none" w:sz="0" w:space="0" w:color="auto"/>
        <w:left w:val="none" w:sz="0" w:space="0" w:color="auto"/>
        <w:bottom w:val="none" w:sz="0" w:space="0" w:color="auto"/>
        <w:right w:val="none" w:sz="0" w:space="0" w:color="auto"/>
      </w:divBdr>
    </w:div>
    <w:div w:id="2096590494">
      <w:bodyDiv w:val="1"/>
      <w:marLeft w:val="0"/>
      <w:marRight w:val="0"/>
      <w:marTop w:val="0"/>
      <w:marBottom w:val="0"/>
      <w:divBdr>
        <w:top w:val="none" w:sz="0" w:space="0" w:color="auto"/>
        <w:left w:val="none" w:sz="0" w:space="0" w:color="auto"/>
        <w:bottom w:val="none" w:sz="0" w:space="0" w:color="auto"/>
        <w:right w:val="none" w:sz="0" w:space="0" w:color="auto"/>
      </w:divBdr>
    </w:div>
    <w:div w:id="21211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fo-coronavirus.be/nl/fa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709</Words>
  <Characters>4271</Characters>
  <Application>Microsoft Office Word</Application>
  <DocSecurity>0</DocSecurity>
  <Lines>68</Lines>
  <Paragraphs>29</Paragraphs>
  <ScaleCrop>false</ScaleCrop>
  <HeadingPairs>
    <vt:vector size="2" baseType="variant">
      <vt:variant>
        <vt:lpstr>Title</vt:lpstr>
      </vt:variant>
      <vt:variant>
        <vt:i4>1</vt:i4>
      </vt:variant>
    </vt:vector>
  </HeadingPairs>
  <TitlesOfParts>
    <vt:vector size="1" baseType="lpstr">
      <vt:lpstr>Maatregelen Coronavirus DEEL 9</vt:lpstr>
    </vt:vector>
  </TitlesOfParts>
  <Manager/>
  <Company>Schellter - AVAP - FIF - EWI - EIS - BCTE</Company>
  <LinksUpToDate>false</LinksUpToDate>
  <CharactersWithSpaces>4951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Maatregelen Coronavirus DEEL 11</dc:title>
  <dc:subject/>
  <dc:creator>Peter Schellinck</dc:creator>
  <cp:keywords/>
  <dc:description/>
  <cp:lastModifiedBy>Peter Schellinck</cp:lastModifiedBy>
  <cp:revision>4</cp:revision>
  <dcterms:created xsi:type="dcterms:W3CDTF">2020-06-04T09:03:00Z</dcterms:created>
  <dcterms:modified xsi:type="dcterms:W3CDTF">2020-06-04T09:08:00Z</dcterms:modified>
  <cp:category/>
</cp:coreProperties>
</file>